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F198" w14:textId="77777777" w:rsidR="00DC0295" w:rsidRDefault="00DC0295" w:rsidP="00DC0295">
      <w:pPr>
        <w:rPr>
          <w:lang w:val="en-US"/>
        </w:rPr>
      </w:pPr>
      <w:r w:rsidRPr="00DC0295">
        <w:rPr>
          <w:lang w:val="en-US"/>
        </w:rPr>
        <w:t>Eight committee roles for group work</w:t>
      </w:r>
    </w:p>
    <w:p w14:paraId="76C50CDD" w14:textId="77777777" w:rsidR="00DC0295" w:rsidRPr="00DC0295" w:rsidRDefault="00DC0295" w:rsidP="00DC0295">
      <w:pPr>
        <w:numPr>
          <w:ilvl w:val="0"/>
          <w:numId w:val="1"/>
        </w:numPr>
        <w:rPr>
          <w:lang w:val="en-US"/>
        </w:rPr>
      </w:pPr>
      <w:r w:rsidRPr="00DC0295">
        <w:rPr>
          <w:lang w:val="en-US"/>
        </w:rPr>
        <w:t>Chair (IRB/ethics committee leadership)</w:t>
      </w:r>
    </w:p>
    <w:p w14:paraId="008B606B" w14:textId="77777777" w:rsidR="00DC0295" w:rsidRPr="00DC0295" w:rsidRDefault="00DC0295" w:rsidP="00DC0295">
      <w:pPr>
        <w:numPr>
          <w:ilvl w:val="0"/>
          <w:numId w:val="1"/>
        </w:numPr>
        <w:rPr>
          <w:lang w:val="en-US"/>
        </w:rPr>
      </w:pPr>
      <w:r w:rsidRPr="00DC0295">
        <w:rPr>
          <w:lang w:val="en-US"/>
        </w:rPr>
        <w:t>Clinical specialist (relevant to the disease area)</w:t>
      </w:r>
    </w:p>
    <w:p w14:paraId="7DFE8C29" w14:textId="77777777" w:rsidR="00DC0295" w:rsidRPr="00DC0295" w:rsidRDefault="00DC0295" w:rsidP="00DC0295">
      <w:pPr>
        <w:numPr>
          <w:ilvl w:val="0"/>
          <w:numId w:val="1"/>
        </w:numPr>
        <w:rPr>
          <w:lang w:val="en-US"/>
        </w:rPr>
      </w:pPr>
      <w:r w:rsidRPr="00DC0295">
        <w:rPr>
          <w:lang w:val="en-US"/>
        </w:rPr>
        <w:t>Pharmacologist/clinical pharmacist (safety, interactions)</w:t>
      </w:r>
    </w:p>
    <w:p w14:paraId="2953EFF1" w14:textId="77777777" w:rsidR="00DC0295" w:rsidRPr="00DC0295" w:rsidRDefault="00DC0295" w:rsidP="00DC0295">
      <w:pPr>
        <w:numPr>
          <w:ilvl w:val="0"/>
          <w:numId w:val="1"/>
        </w:numPr>
      </w:pPr>
      <w:r w:rsidRPr="00DC0295">
        <w:t>Biostatistician (design and analysis)</w:t>
      </w:r>
    </w:p>
    <w:p w14:paraId="1428B6E9" w14:textId="77777777" w:rsidR="00DC0295" w:rsidRPr="00DC0295" w:rsidRDefault="00DC0295" w:rsidP="00DC0295">
      <w:pPr>
        <w:numPr>
          <w:ilvl w:val="0"/>
          <w:numId w:val="1"/>
        </w:numPr>
        <w:rPr>
          <w:lang w:val="en-US"/>
        </w:rPr>
      </w:pPr>
      <w:r w:rsidRPr="00DC0295">
        <w:rPr>
          <w:lang w:val="en-US"/>
        </w:rPr>
        <w:t>Research nurse (feasibility and participant care)</w:t>
      </w:r>
    </w:p>
    <w:p w14:paraId="78FDD19F" w14:textId="77777777" w:rsidR="00DC0295" w:rsidRPr="00DC0295" w:rsidRDefault="00DC0295" w:rsidP="00DC0295">
      <w:pPr>
        <w:numPr>
          <w:ilvl w:val="0"/>
          <w:numId w:val="1"/>
        </w:numPr>
        <w:rPr>
          <w:lang w:val="en-US"/>
        </w:rPr>
      </w:pPr>
      <w:r w:rsidRPr="00DC0295">
        <w:rPr>
          <w:lang w:val="en-US"/>
        </w:rPr>
        <w:t>Bioethicist (participant protections and ethics)</w:t>
      </w:r>
    </w:p>
    <w:p w14:paraId="3C5FBDD1" w14:textId="77777777" w:rsidR="00DC0295" w:rsidRPr="00DC0295" w:rsidRDefault="00DC0295" w:rsidP="00DC0295">
      <w:pPr>
        <w:numPr>
          <w:ilvl w:val="0"/>
          <w:numId w:val="1"/>
        </w:numPr>
        <w:rPr>
          <w:lang w:val="en-US"/>
        </w:rPr>
      </w:pPr>
      <w:r w:rsidRPr="00DC0295">
        <w:rPr>
          <w:lang w:val="en-US"/>
        </w:rPr>
        <w:t>Legal counsel (regulatory and liability)</w:t>
      </w:r>
    </w:p>
    <w:p w14:paraId="4001DAE9" w14:textId="77777777" w:rsidR="00DC0295" w:rsidRPr="00DC0295" w:rsidRDefault="00DC0295" w:rsidP="00DC0295">
      <w:pPr>
        <w:numPr>
          <w:ilvl w:val="0"/>
          <w:numId w:val="1"/>
        </w:numPr>
        <w:rPr>
          <w:lang w:val="en-US"/>
        </w:rPr>
      </w:pPr>
      <w:r w:rsidRPr="00DC0295">
        <w:rPr>
          <w:lang w:val="en-US"/>
        </w:rPr>
        <w:t>Patient/community representative (participant perspective)</w:t>
      </w:r>
    </w:p>
    <w:p w14:paraId="1124AF11" w14:textId="77777777" w:rsidR="002366BB" w:rsidRDefault="002366BB">
      <w:pPr>
        <w:rPr>
          <w:lang w:val="en-US"/>
        </w:rPr>
      </w:pPr>
    </w:p>
    <w:p w14:paraId="0E02EDE2" w14:textId="216CB751" w:rsidR="00811870" w:rsidRDefault="00811870">
      <w:pPr>
        <w:rPr>
          <w:lang w:val="en-US"/>
        </w:rPr>
      </w:pPr>
      <w:r>
        <w:rPr>
          <w:lang w:val="en-US"/>
        </w:rPr>
        <w:br w:type="page"/>
      </w:r>
    </w:p>
    <w:p w14:paraId="55604308" w14:textId="751078B3" w:rsidR="003C05F4" w:rsidRPr="00DC0295" w:rsidRDefault="003C05F4" w:rsidP="003C05F4">
      <w:pPr>
        <w:rPr>
          <w:lang w:val="en-US"/>
        </w:rPr>
      </w:pPr>
      <w:r w:rsidRPr="00DC0295">
        <w:rPr>
          <w:lang w:val="en-US"/>
        </w:rPr>
        <w:lastRenderedPageBreak/>
        <w:t>E</w:t>
      </w:r>
      <w:r>
        <w:rPr>
          <w:lang w:val="en-US"/>
        </w:rPr>
        <w:t>thical considerations:</w:t>
      </w:r>
    </w:p>
    <w:p w14:paraId="62C16B73" w14:textId="3144107E" w:rsidR="00811870" w:rsidRDefault="00811870">
      <w:pPr>
        <w:rPr>
          <w:lang w:val="en-US"/>
        </w:rPr>
      </w:pPr>
      <w:r>
        <w:rPr>
          <w:lang w:val="en-US"/>
        </w:rPr>
        <w:br w:type="page"/>
      </w:r>
    </w:p>
    <w:p w14:paraId="34C1063E" w14:textId="77777777" w:rsidR="00811870" w:rsidRPr="00811870" w:rsidRDefault="00811870" w:rsidP="00811870">
      <w:pPr>
        <w:rPr>
          <w:lang w:val="en-US"/>
        </w:rPr>
      </w:pPr>
      <w:r w:rsidRPr="00811870">
        <w:rPr>
          <w:lang w:val="en-US"/>
        </w:rPr>
        <w:lastRenderedPageBreak/>
        <w:t>Study protocol synopsis (student handout)</w:t>
      </w:r>
    </w:p>
    <w:p w14:paraId="6C19367D" w14:textId="77777777" w:rsidR="00811870" w:rsidRPr="00811870" w:rsidRDefault="00811870" w:rsidP="00811870">
      <w:pPr>
        <w:rPr>
          <w:lang w:val="en-US"/>
        </w:rPr>
      </w:pPr>
      <w:r w:rsidRPr="00811870">
        <w:rPr>
          <w:lang w:val="en-US"/>
        </w:rPr>
        <w:t>Title CalmDose for Agitation in Alzheimer’s Disease: A Randomized, Placebo</w:t>
      </w:r>
      <w:r w:rsidRPr="00811870">
        <w:rPr>
          <w:lang w:val="en-US"/>
        </w:rPr>
        <w:noBreakHyphen/>
        <w:t>Controlled Nursing</w:t>
      </w:r>
      <w:r w:rsidRPr="00811870">
        <w:rPr>
          <w:lang w:val="en-US"/>
        </w:rPr>
        <w:noBreakHyphen/>
        <w:t>Home Study</w:t>
      </w:r>
    </w:p>
    <w:p w14:paraId="1E4C3B92" w14:textId="77777777" w:rsidR="00811870" w:rsidRPr="00811870" w:rsidRDefault="00811870" w:rsidP="00811870">
      <w:r w:rsidRPr="00811870">
        <w:t>Principal Investigator and Sponsor</w:t>
      </w:r>
    </w:p>
    <w:p w14:paraId="6D9601B7" w14:textId="77777777" w:rsidR="00811870" w:rsidRPr="00811870" w:rsidRDefault="00811870" w:rsidP="00811870">
      <w:pPr>
        <w:numPr>
          <w:ilvl w:val="0"/>
          <w:numId w:val="2"/>
        </w:numPr>
        <w:rPr>
          <w:lang w:val="en-US"/>
        </w:rPr>
      </w:pPr>
      <w:r w:rsidRPr="00811870">
        <w:rPr>
          <w:lang w:val="en-US"/>
        </w:rPr>
        <w:t>Principal Investigator (PI): Dr. A. Reynolds, Department of Geriatric Medicine</w:t>
      </w:r>
    </w:p>
    <w:p w14:paraId="2ECCB3BB" w14:textId="77777777" w:rsidR="00811870" w:rsidRPr="00811870" w:rsidRDefault="00811870" w:rsidP="00811870">
      <w:pPr>
        <w:numPr>
          <w:ilvl w:val="0"/>
          <w:numId w:val="2"/>
        </w:numPr>
      </w:pPr>
      <w:r w:rsidRPr="00811870">
        <w:t>Sponsor: NeuroCalm LLC</w:t>
      </w:r>
    </w:p>
    <w:p w14:paraId="7E17D649" w14:textId="77777777" w:rsidR="00811870" w:rsidRPr="00811870" w:rsidRDefault="00811870" w:rsidP="00811870">
      <w:pPr>
        <w:numPr>
          <w:ilvl w:val="0"/>
          <w:numId w:val="2"/>
        </w:numPr>
        <w:rPr>
          <w:lang w:val="en-US"/>
        </w:rPr>
      </w:pPr>
      <w:r w:rsidRPr="00811870">
        <w:rPr>
          <w:lang w:val="en-US"/>
        </w:rPr>
        <w:t>Funding: Sponsored clinical trial agreement with NeuroCalm LLC</w:t>
      </w:r>
    </w:p>
    <w:p w14:paraId="7ABC1B51" w14:textId="77777777" w:rsidR="003C05F4" w:rsidRDefault="00811870" w:rsidP="00811870">
      <w:pPr>
        <w:rPr>
          <w:lang w:val="en-US"/>
        </w:rPr>
      </w:pPr>
      <w:r w:rsidRPr="00811870">
        <w:rPr>
          <w:lang w:val="en-US"/>
        </w:rPr>
        <w:t>Background and Rationale</w:t>
      </w:r>
    </w:p>
    <w:p w14:paraId="7384A80D" w14:textId="1D70F541" w:rsidR="00811870" w:rsidRPr="00811870" w:rsidRDefault="00811870" w:rsidP="00811870">
      <w:pPr>
        <w:rPr>
          <w:lang w:val="en-US"/>
        </w:rPr>
      </w:pPr>
      <w:r w:rsidRPr="00811870">
        <w:rPr>
          <w:lang w:val="en-US"/>
        </w:rPr>
        <w:t>Agitation is common in moderate to severe Alzheimer’s disease (AD) and is associated with caregiver burden, falls, and institutionalization. Current pharmacologic options are limited by side effects and variable efficacy. CalmDose is an oral investigational sedative compound with a novel mechanism targeting arousal pathways. In a completed Phase 1 study in healthy adults (n=24), CalmDose was generally well tolerated; the most frequent adverse events were somnolence and dizziness. Transient, asymptomatic QTc prolongation was observed in a minority of participants. No efficacy data are available in patients with dementia. This pilot study aims to evaluate signals of efficacy and tolerability in a nursing</w:t>
      </w:r>
      <w:r w:rsidRPr="00811870">
        <w:rPr>
          <w:lang w:val="en-US"/>
        </w:rPr>
        <w:noBreakHyphen/>
        <w:t>home population with clinically significant agitation.</w:t>
      </w:r>
    </w:p>
    <w:p w14:paraId="432FEC8A" w14:textId="77777777" w:rsidR="00811870" w:rsidRPr="00811870" w:rsidRDefault="00811870" w:rsidP="00811870">
      <w:r w:rsidRPr="00811870">
        <w:t>Objectives</w:t>
      </w:r>
    </w:p>
    <w:p w14:paraId="209240AD" w14:textId="77777777" w:rsidR="00811870" w:rsidRPr="00811870" w:rsidRDefault="00811870" w:rsidP="00811870">
      <w:pPr>
        <w:numPr>
          <w:ilvl w:val="0"/>
          <w:numId w:val="3"/>
        </w:numPr>
        <w:rPr>
          <w:lang w:val="en-US"/>
        </w:rPr>
      </w:pPr>
      <w:r w:rsidRPr="00811870">
        <w:rPr>
          <w:lang w:val="en-US"/>
        </w:rPr>
        <w:t>Primary Objective: To evaluate the effect of CalmDose versus placebo on agitation over 12 weeks, as measured by the 21</w:t>
      </w:r>
      <w:r w:rsidRPr="00811870">
        <w:rPr>
          <w:lang w:val="en-US"/>
        </w:rPr>
        <w:noBreakHyphen/>
        <w:t>item Agitation Behavior Scale (ABS).</w:t>
      </w:r>
    </w:p>
    <w:p w14:paraId="25C7FED2" w14:textId="77777777" w:rsidR="00811870" w:rsidRPr="00811870" w:rsidRDefault="00811870" w:rsidP="00811870">
      <w:pPr>
        <w:numPr>
          <w:ilvl w:val="0"/>
          <w:numId w:val="3"/>
        </w:numPr>
        <w:rPr>
          <w:lang w:val="en-US"/>
        </w:rPr>
      </w:pPr>
      <w:r w:rsidRPr="00811870">
        <w:rPr>
          <w:lang w:val="en-US"/>
        </w:rPr>
        <w:t>Secondary Objectives: To assess caregiver burden, nighttime falls, and exploratory cardiac safety (QTc) and activity patterns.</w:t>
      </w:r>
    </w:p>
    <w:p w14:paraId="15692434" w14:textId="77777777" w:rsidR="003C05F4" w:rsidRDefault="00811870" w:rsidP="00811870">
      <w:pPr>
        <w:rPr>
          <w:lang w:val="en-US"/>
        </w:rPr>
      </w:pPr>
      <w:r w:rsidRPr="00811870">
        <w:rPr>
          <w:lang w:val="en-US"/>
        </w:rPr>
        <w:t>Study Design</w:t>
      </w:r>
    </w:p>
    <w:p w14:paraId="04878D31" w14:textId="7D9E8B9F" w:rsidR="00811870" w:rsidRPr="00811870" w:rsidRDefault="00811870" w:rsidP="00811870">
      <w:pPr>
        <w:rPr>
          <w:lang w:val="en-US"/>
        </w:rPr>
      </w:pPr>
      <w:r w:rsidRPr="00811870">
        <w:rPr>
          <w:lang w:val="en-US"/>
        </w:rPr>
        <w:t>This is a 12</w:t>
      </w:r>
      <w:r w:rsidRPr="00811870">
        <w:rPr>
          <w:lang w:val="en-US"/>
        </w:rPr>
        <w:noBreakHyphen/>
        <w:t>week, multicenter, randomized, double</w:t>
      </w:r>
      <w:r w:rsidRPr="00811870">
        <w:rPr>
          <w:lang w:val="en-US"/>
        </w:rPr>
        <w:noBreakHyphen/>
        <w:t>blind, placebo</w:t>
      </w:r>
      <w:r w:rsidRPr="00811870">
        <w:rPr>
          <w:lang w:val="en-US"/>
        </w:rPr>
        <w:noBreakHyphen/>
        <w:t>controlled, parallel</w:t>
      </w:r>
      <w:r w:rsidRPr="00811870">
        <w:rPr>
          <w:lang w:val="en-US"/>
        </w:rPr>
        <w:noBreakHyphen/>
        <w:t>group pilot study conducted in partner nursing homes. Approximately 60 residents (30 per arm) will be enrolled and randomized 1:1 to CalmDose or matching placebo. Study drug will be administered orally once daily.</w:t>
      </w:r>
    </w:p>
    <w:p w14:paraId="5F404E8A" w14:textId="77777777" w:rsidR="00811870" w:rsidRPr="00811870" w:rsidRDefault="00811870" w:rsidP="00811870">
      <w:pPr>
        <w:rPr>
          <w:lang w:val="en-US"/>
        </w:rPr>
      </w:pPr>
      <w:r w:rsidRPr="00811870">
        <w:rPr>
          <w:lang w:val="en-US"/>
        </w:rPr>
        <w:t>Study Population Residents with moderate to severe Alzheimer’s disease living in participating nursing homes will be screened for eligibility in collaboration with facility clinicians.</w:t>
      </w:r>
    </w:p>
    <w:p w14:paraId="4111F7BF" w14:textId="7BDE748D" w:rsidR="00811870" w:rsidRPr="00811870" w:rsidRDefault="00811870" w:rsidP="00811870">
      <w:r w:rsidRPr="00811870">
        <w:t>Inclusion Criteria</w:t>
      </w:r>
    </w:p>
    <w:p w14:paraId="695A3EA3" w14:textId="77777777" w:rsidR="00811870" w:rsidRPr="00811870" w:rsidRDefault="00811870" w:rsidP="00811870">
      <w:pPr>
        <w:numPr>
          <w:ilvl w:val="0"/>
          <w:numId w:val="4"/>
        </w:numPr>
      </w:pPr>
      <w:r w:rsidRPr="00811870">
        <w:t>Age ≥ 65 years.</w:t>
      </w:r>
    </w:p>
    <w:p w14:paraId="4621F4C4" w14:textId="77777777" w:rsidR="00811870" w:rsidRPr="00811870" w:rsidRDefault="00811870" w:rsidP="00811870">
      <w:pPr>
        <w:numPr>
          <w:ilvl w:val="0"/>
          <w:numId w:val="4"/>
        </w:numPr>
        <w:rPr>
          <w:lang w:val="en-US"/>
        </w:rPr>
      </w:pPr>
      <w:r w:rsidRPr="00811870">
        <w:rPr>
          <w:lang w:val="en-US"/>
        </w:rPr>
        <w:t>Diagnosis of Alzheimer’s disease documented in the medical record.</w:t>
      </w:r>
    </w:p>
    <w:p w14:paraId="1FB7DF38" w14:textId="77777777" w:rsidR="00811870" w:rsidRPr="00811870" w:rsidRDefault="00811870" w:rsidP="00811870">
      <w:pPr>
        <w:numPr>
          <w:ilvl w:val="0"/>
          <w:numId w:val="4"/>
        </w:numPr>
        <w:rPr>
          <w:lang w:val="en-US"/>
        </w:rPr>
      </w:pPr>
      <w:r w:rsidRPr="00811870">
        <w:rPr>
          <w:lang w:val="en-US"/>
        </w:rPr>
        <w:t>Mini</w:t>
      </w:r>
      <w:r w:rsidRPr="00811870">
        <w:rPr>
          <w:lang w:val="en-US"/>
        </w:rPr>
        <w:noBreakHyphen/>
        <w:t>Mental State Examination (MMSE) score ≤ 18.</w:t>
      </w:r>
    </w:p>
    <w:p w14:paraId="6BFB1CEA" w14:textId="77777777" w:rsidR="00811870" w:rsidRPr="00811870" w:rsidRDefault="00811870" w:rsidP="00811870">
      <w:pPr>
        <w:numPr>
          <w:ilvl w:val="0"/>
          <w:numId w:val="4"/>
        </w:numPr>
        <w:rPr>
          <w:lang w:val="en-US"/>
        </w:rPr>
      </w:pPr>
      <w:r w:rsidRPr="00811870">
        <w:rPr>
          <w:lang w:val="en-US"/>
        </w:rPr>
        <w:t>Residence in the facility for ≥ 1 month before screening.</w:t>
      </w:r>
    </w:p>
    <w:p w14:paraId="1B913858" w14:textId="77777777" w:rsidR="00811870" w:rsidRPr="00811870" w:rsidRDefault="00811870" w:rsidP="00811870">
      <w:pPr>
        <w:numPr>
          <w:ilvl w:val="0"/>
          <w:numId w:val="4"/>
        </w:numPr>
        <w:rPr>
          <w:lang w:val="en-US"/>
        </w:rPr>
      </w:pPr>
      <w:r w:rsidRPr="00811870">
        <w:rPr>
          <w:lang w:val="en-US"/>
        </w:rPr>
        <w:t>At least one documented agitation episode in the 2 weeks prior to screening.</w:t>
      </w:r>
    </w:p>
    <w:p w14:paraId="2D2B3AD9" w14:textId="77777777" w:rsidR="00811870" w:rsidRPr="00811870" w:rsidRDefault="00811870" w:rsidP="00811870">
      <w:pPr>
        <w:numPr>
          <w:ilvl w:val="0"/>
          <w:numId w:val="4"/>
        </w:numPr>
        <w:rPr>
          <w:lang w:val="en-US"/>
        </w:rPr>
      </w:pPr>
      <w:r w:rsidRPr="00811870">
        <w:rPr>
          <w:lang w:val="en-US"/>
        </w:rPr>
        <w:t>Availability of a legally authorized representative (LAR) or family contact on file with the facility.</w:t>
      </w:r>
    </w:p>
    <w:p w14:paraId="6E7D571E" w14:textId="123D26C2" w:rsidR="00811870" w:rsidRPr="00811870" w:rsidRDefault="00811870" w:rsidP="00811870">
      <w:r w:rsidRPr="00811870">
        <w:lastRenderedPageBreak/>
        <w:t>Exclusion Criteria</w:t>
      </w:r>
    </w:p>
    <w:p w14:paraId="59841441" w14:textId="77777777" w:rsidR="00811870" w:rsidRPr="00811870" w:rsidRDefault="00811870" w:rsidP="00811870">
      <w:pPr>
        <w:numPr>
          <w:ilvl w:val="0"/>
          <w:numId w:val="5"/>
        </w:numPr>
        <w:rPr>
          <w:lang w:val="en-US"/>
        </w:rPr>
      </w:pPr>
      <w:r w:rsidRPr="00811870">
        <w:rPr>
          <w:lang w:val="en-US"/>
        </w:rPr>
        <w:t>Known long QT syndrome, pacemaker, or baseline QTc above site</w:t>
      </w:r>
      <w:r w:rsidRPr="00811870">
        <w:rPr>
          <w:lang w:val="en-US"/>
        </w:rPr>
        <w:noBreakHyphen/>
        <w:t>specific thresholds.</w:t>
      </w:r>
    </w:p>
    <w:p w14:paraId="3B09F348" w14:textId="77777777" w:rsidR="00811870" w:rsidRPr="00811870" w:rsidRDefault="00811870" w:rsidP="00811870">
      <w:pPr>
        <w:numPr>
          <w:ilvl w:val="0"/>
          <w:numId w:val="5"/>
        </w:numPr>
        <w:rPr>
          <w:lang w:val="en-US"/>
        </w:rPr>
      </w:pPr>
      <w:r w:rsidRPr="00811870">
        <w:rPr>
          <w:lang w:val="en-US"/>
        </w:rPr>
        <w:t>Unstable major medical condition per investigator judgment.</w:t>
      </w:r>
    </w:p>
    <w:p w14:paraId="07C6D9B1" w14:textId="77777777" w:rsidR="00811870" w:rsidRPr="00811870" w:rsidRDefault="00811870" w:rsidP="00811870">
      <w:pPr>
        <w:numPr>
          <w:ilvl w:val="0"/>
          <w:numId w:val="5"/>
        </w:numPr>
        <w:rPr>
          <w:lang w:val="en-US"/>
        </w:rPr>
      </w:pPr>
      <w:r w:rsidRPr="00811870">
        <w:rPr>
          <w:lang w:val="en-US"/>
        </w:rPr>
        <w:t>Known allergy to study drug excipients.</w:t>
      </w:r>
    </w:p>
    <w:p w14:paraId="729A082E" w14:textId="77777777" w:rsidR="00811870" w:rsidRPr="00811870" w:rsidRDefault="00811870" w:rsidP="00811870">
      <w:pPr>
        <w:numPr>
          <w:ilvl w:val="0"/>
          <w:numId w:val="5"/>
        </w:numPr>
        <w:rPr>
          <w:lang w:val="en-US"/>
        </w:rPr>
      </w:pPr>
      <w:r w:rsidRPr="00811870">
        <w:rPr>
          <w:lang w:val="en-US"/>
        </w:rPr>
        <w:t>Pregnant persons (per medical record and clinician judgment).</w:t>
      </w:r>
    </w:p>
    <w:p w14:paraId="1A38C559" w14:textId="77777777" w:rsidR="00811870" w:rsidRPr="00811870" w:rsidRDefault="00811870" w:rsidP="00811870">
      <w:pPr>
        <w:numPr>
          <w:ilvl w:val="0"/>
          <w:numId w:val="5"/>
        </w:numPr>
        <w:rPr>
          <w:lang w:val="en-US"/>
        </w:rPr>
      </w:pPr>
      <w:r w:rsidRPr="00811870">
        <w:rPr>
          <w:lang w:val="en-US"/>
        </w:rPr>
        <w:t>Current participation in another interventional trial.</w:t>
      </w:r>
    </w:p>
    <w:p w14:paraId="4EC5A485" w14:textId="77777777" w:rsidR="003C05F4" w:rsidRDefault="00811870" w:rsidP="00811870">
      <w:pPr>
        <w:rPr>
          <w:lang w:val="en-US"/>
        </w:rPr>
      </w:pPr>
      <w:r w:rsidRPr="00811870">
        <w:rPr>
          <w:lang w:val="en-US"/>
        </w:rPr>
        <w:t>Consent and Participant Authorization</w:t>
      </w:r>
    </w:p>
    <w:p w14:paraId="0EF7ABE5" w14:textId="465F3D76" w:rsidR="00811870" w:rsidRPr="00811870" w:rsidRDefault="00811870" w:rsidP="00811870">
      <w:pPr>
        <w:rPr>
          <w:lang w:val="en-US"/>
        </w:rPr>
      </w:pPr>
      <w:r w:rsidRPr="00811870">
        <w:rPr>
          <w:lang w:val="en-US"/>
        </w:rPr>
        <w:t xml:space="preserve"> The study will use a facility</w:t>
      </w:r>
      <w:r w:rsidRPr="00811870">
        <w:rPr>
          <w:lang w:val="en-US"/>
        </w:rPr>
        <w:noBreakHyphen/>
        <w:t>facilitated notification process. Families/LARs listed in the facility record will receive mailed information describing the study and contact details for questions. Enrollment may proceed if no written objection is received within 7 days (opt</w:t>
      </w:r>
      <w:r w:rsidRPr="00811870">
        <w:rPr>
          <w:lang w:val="en-US"/>
        </w:rPr>
        <w:noBreakHyphen/>
        <w:t>out). In cases where families/LARs are present at the facility, on</w:t>
      </w:r>
      <w:r w:rsidRPr="00811870">
        <w:rPr>
          <w:lang w:val="en-US"/>
        </w:rPr>
        <w:noBreakHyphen/>
        <w:t>site consent discussions may be conducted by study staff. Materials will be provided in standard English text. Whenever feasible, verbal assent will be sought from residents prior to procedures.</w:t>
      </w:r>
    </w:p>
    <w:p w14:paraId="71E1E83A" w14:textId="77777777" w:rsidR="003C05F4" w:rsidRDefault="00811870" w:rsidP="00811870">
      <w:pPr>
        <w:rPr>
          <w:lang w:val="en-US"/>
        </w:rPr>
      </w:pPr>
      <w:r w:rsidRPr="00811870">
        <w:rPr>
          <w:lang w:val="en-US"/>
        </w:rPr>
        <w:t>Randomization and Blinding</w:t>
      </w:r>
    </w:p>
    <w:p w14:paraId="4E8A2B62" w14:textId="0296F874" w:rsidR="00811870" w:rsidRPr="00811870" w:rsidRDefault="00811870" w:rsidP="00811870">
      <w:pPr>
        <w:rPr>
          <w:lang w:val="en-US"/>
        </w:rPr>
      </w:pPr>
      <w:r w:rsidRPr="00811870">
        <w:rPr>
          <w:lang w:val="en-US"/>
        </w:rPr>
        <w:t>Eligible participants will be randomized via a centralized web</w:t>
      </w:r>
      <w:r w:rsidRPr="00811870">
        <w:rPr>
          <w:lang w:val="en-US"/>
        </w:rPr>
        <w:noBreakHyphen/>
        <w:t>based system to CalmDose or placebo in a 1:1 ratio. Allocation will be concealed from participants, caregivers, facility staff, and study investigators. Study drug and placebo will be identical in appearance and packaging.</w:t>
      </w:r>
    </w:p>
    <w:p w14:paraId="25AF3B79" w14:textId="77777777" w:rsidR="00811870" w:rsidRPr="00811870" w:rsidRDefault="00811870" w:rsidP="00811870">
      <w:r w:rsidRPr="00811870">
        <w:t>Interventions</w:t>
      </w:r>
    </w:p>
    <w:p w14:paraId="4E8967E0" w14:textId="77777777" w:rsidR="00811870" w:rsidRPr="00811870" w:rsidRDefault="00811870" w:rsidP="00811870">
      <w:pPr>
        <w:numPr>
          <w:ilvl w:val="0"/>
          <w:numId w:val="6"/>
        </w:numPr>
        <w:rPr>
          <w:lang w:val="en-US"/>
        </w:rPr>
      </w:pPr>
      <w:r w:rsidRPr="00811870">
        <w:rPr>
          <w:lang w:val="en-US"/>
        </w:rPr>
        <w:t>CalmDose Arm: CalmDose oral capsules administered once daily for 12 weeks. Dosing will follow the sponsor’s titration schedule provided in the pharmacy manual.</w:t>
      </w:r>
    </w:p>
    <w:p w14:paraId="0862CAD4" w14:textId="77777777" w:rsidR="00811870" w:rsidRPr="00811870" w:rsidRDefault="00811870" w:rsidP="00811870">
      <w:pPr>
        <w:numPr>
          <w:ilvl w:val="0"/>
          <w:numId w:val="6"/>
        </w:numPr>
        <w:rPr>
          <w:lang w:val="en-US"/>
        </w:rPr>
      </w:pPr>
      <w:r w:rsidRPr="00811870">
        <w:rPr>
          <w:lang w:val="en-US"/>
        </w:rPr>
        <w:t>Placebo Arm: Matching placebo oral capsules administered once daily for 12 weeks.</w:t>
      </w:r>
    </w:p>
    <w:p w14:paraId="709A660A" w14:textId="550886D5" w:rsidR="003C05F4" w:rsidRDefault="00811870" w:rsidP="00811870">
      <w:pPr>
        <w:rPr>
          <w:lang w:val="en-US"/>
        </w:rPr>
      </w:pPr>
      <w:r w:rsidRPr="00811870">
        <w:rPr>
          <w:lang w:val="en-US"/>
        </w:rPr>
        <w:t>Concomitant Medications and Washout</w:t>
      </w:r>
    </w:p>
    <w:p w14:paraId="510BE14F" w14:textId="6E496ED0" w:rsidR="00811870" w:rsidRPr="00811870" w:rsidRDefault="00811870" w:rsidP="00811870">
      <w:pPr>
        <w:rPr>
          <w:lang w:val="en-US"/>
        </w:rPr>
      </w:pPr>
      <w:r w:rsidRPr="00811870">
        <w:rPr>
          <w:lang w:val="en-US"/>
        </w:rPr>
        <w:t>To isolate the effect of CalmDose, psychoactive medications commonly used for agitation (e.g., SSRIs, antipsychotics, benzodiazepines) will be discontinued 72 hours prior to randomization. Rescue medications will not be permitted unless required for medical necessity per facility standards; any such use will be documented.</w:t>
      </w:r>
    </w:p>
    <w:p w14:paraId="745DFEE5" w14:textId="2BF05215" w:rsidR="00212D2B" w:rsidRPr="00212D2B" w:rsidRDefault="00811870" w:rsidP="00212D2B">
      <w:pPr>
        <w:tabs>
          <w:tab w:val="num" w:pos="720"/>
        </w:tabs>
        <w:rPr>
          <w:lang w:val="en-US"/>
        </w:rPr>
      </w:pPr>
      <w:r w:rsidRPr="00811870">
        <w:rPr>
          <w:lang w:val="en-US"/>
        </w:rPr>
        <w:t>Assessments and Endpoints</w:t>
      </w:r>
    </w:p>
    <w:p w14:paraId="657BC3DA" w14:textId="147C01CE" w:rsidR="00811870" w:rsidRPr="00811870" w:rsidRDefault="00811870" w:rsidP="00212D2B">
      <w:pPr>
        <w:tabs>
          <w:tab w:val="num" w:pos="720"/>
        </w:tabs>
        <w:rPr>
          <w:lang w:val="en-US"/>
        </w:rPr>
      </w:pPr>
      <w:r w:rsidRPr="00811870">
        <w:rPr>
          <w:lang w:val="en-US"/>
        </w:rPr>
        <w:t>Primary Endpoint: Change from baseline to Week 12 in total ABS score (higher scores indicate greater agitation). ABS will be administered by trained facility staff or research personnel at baseline and Week 12.</w:t>
      </w:r>
    </w:p>
    <w:p w14:paraId="58157283" w14:textId="77777777" w:rsidR="00811870" w:rsidRPr="00811870" w:rsidRDefault="00811870" w:rsidP="00811870">
      <w:pPr>
        <w:numPr>
          <w:ilvl w:val="0"/>
          <w:numId w:val="7"/>
        </w:numPr>
      </w:pPr>
      <w:r w:rsidRPr="00811870">
        <w:t>Secondary Endpoints:</w:t>
      </w:r>
    </w:p>
    <w:p w14:paraId="49D6F025" w14:textId="77777777" w:rsidR="00811870" w:rsidRPr="00811870" w:rsidRDefault="00811870" w:rsidP="00811870">
      <w:pPr>
        <w:numPr>
          <w:ilvl w:val="1"/>
          <w:numId w:val="7"/>
        </w:numPr>
        <w:rPr>
          <w:lang w:val="en-US"/>
        </w:rPr>
      </w:pPr>
      <w:r w:rsidRPr="00811870">
        <w:rPr>
          <w:lang w:val="en-US"/>
        </w:rPr>
        <w:t>Nighttime falls recorded via facility incident logs (falls leading to emergency department evaluation).</w:t>
      </w:r>
    </w:p>
    <w:p w14:paraId="55C78C23" w14:textId="77777777" w:rsidR="00811870" w:rsidRPr="00811870" w:rsidRDefault="00811870" w:rsidP="00811870">
      <w:pPr>
        <w:numPr>
          <w:ilvl w:val="1"/>
          <w:numId w:val="7"/>
        </w:numPr>
        <w:rPr>
          <w:lang w:val="en-US"/>
        </w:rPr>
      </w:pPr>
      <w:r w:rsidRPr="00811870">
        <w:rPr>
          <w:lang w:val="en-US"/>
        </w:rPr>
        <w:t>Caregiver burden measured by a validated short</w:t>
      </w:r>
      <w:r w:rsidRPr="00811870">
        <w:rPr>
          <w:lang w:val="en-US"/>
        </w:rPr>
        <w:noBreakHyphen/>
        <w:t>form caregiver questionnaire at baseline and Week 12.</w:t>
      </w:r>
    </w:p>
    <w:p w14:paraId="63580C9B" w14:textId="77777777" w:rsidR="00811870" w:rsidRPr="00811870" w:rsidRDefault="00811870" w:rsidP="00811870">
      <w:pPr>
        <w:numPr>
          <w:ilvl w:val="1"/>
          <w:numId w:val="7"/>
        </w:numPr>
        <w:rPr>
          <w:lang w:val="en-US"/>
        </w:rPr>
      </w:pPr>
      <w:r w:rsidRPr="00811870">
        <w:rPr>
          <w:lang w:val="en-US"/>
        </w:rPr>
        <w:t>Exploratory ECG parameters (QTc) at baseline and Week 12.</w:t>
      </w:r>
    </w:p>
    <w:p w14:paraId="43E873BF" w14:textId="77777777" w:rsidR="00811870" w:rsidRPr="00811870" w:rsidRDefault="00811870" w:rsidP="00811870">
      <w:pPr>
        <w:numPr>
          <w:ilvl w:val="1"/>
          <w:numId w:val="7"/>
        </w:numPr>
        <w:rPr>
          <w:lang w:val="en-US"/>
        </w:rPr>
      </w:pPr>
      <w:r w:rsidRPr="00811870">
        <w:rPr>
          <w:lang w:val="en-US"/>
        </w:rPr>
        <w:lastRenderedPageBreak/>
        <w:t>Exploratory continuous activity and sleep metrics collected via wrist</w:t>
      </w:r>
      <w:r w:rsidRPr="00811870">
        <w:rPr>
          <w:lang w:val="en-US"/>
        </w:rPr>
        <w:noBreakHyphen/>
        <w:t>worn accelerometers.</w:t>
      </w:r>
    </w:p>
    <w:p w14:paraId="09A49213" w14:textId="77777777" w:rsidR="00811870" w:rsidRDefault="00811870" w:rsidP="00811870"/>
    <w:p w14:paraId="47AD2D45" w14:textId="0984A991" w:rsidR="00811870" w:rsidRPr="00811870" w:rsidRDefault="00811870" w:rsidP="00811870">
      <w:r w:rsidRPr="00811870">
        <w:t>Safety Monitoring</w:t>
      </w:r>
    </w:p>
    <w:p w14:paraId="59AE8376" w14:textId="77777777" w:rsidR="00811870" w:rsidRPr="00811870" w:rsidRDefault="00811870" w:rsidP="00811870">
      <w:pPr>
        <w:numPr>
          <w:ilvl w:val="0"/>
          <w:numId w:val="8"/>
        </w:numPr>
        <w:rPr>
          <w:lang w:val="en-US"/>
        </w:rPr>
      </w:pPr>
      <w:r w:rsidRPr="00811870">
        <w:rPr>
          <w:lang w:val="en-US"/>
        </w:rPr>
        <w:t>Vital signs will be measured weekly.</w:t>
      </w:r>
    </w:p>
    <w:p w14:paraId="16F62614" w14:textId="77777777" w:rsidR="00811870" w:rsidRPr="00811870" w:rsidRDefault="00811870" w:rsidP="00811870">
      <w:pPr>
        <w:numPr>
          <w:ilvl w:val="0"/>
          <w:numId w:val="8"/>
        </w:numPr>
        <w:rPr>
          <w:lang w:val="en-US"/>
        </w:rPr>
      </w:pPr>
      <w:r w:rsidRPr="00811870">
        <w:rPr>
          <w:lang w:val="en-US"/>
        </w:rPr>
        <w:t>Adverse events (AEs) and serious adverse events (SAEs) will be collected at weekly check</w:t>
      </w:r>
      <w:r w:rsidRPr="00811870">
        <w:rPr>
          <w:lang w:val="en-US"/>
        </w:rPr>
        <w:noBreakHyphen/>
        <w:t>ins and via facility medical records. Particular attention will be given to somnolence, dizziness, and fall</w:t>
      </w:r>
      <w:r w:rsidRPr="00811870">
        <w:rPr>
          <w:lang w:val="en-US"/>
        </w:rPr>
        <w:noBreakHyphen/>
        <w:t>related injuries.</w:t>
      </w:r>
    </w:p>
    <w:p w14:paraId="7C1F896E" w14:textId="77777777" w:rsidR="00811870" w:rsidRPr="00811870" w:rsidRDefault="00811870" w:rsidP="00811870">
      <w:pPr>
        <w:numPr>
          <w:ilvl w:val="0"/>
          <w:numId w:val="8"/>
        </w:numPr>
        <w:rPr>
          <w:lang w:val="en-US"/>
        </w:rPr>
      </w:pPr>
      <w:r w:rsidRPr="00811870">
        <w:rPr>
          <w:lang w:val="en-US"/>
        </w:rPr>
        <w:t>Cardiac safety will be evaluated by 12</w:t>
      </w:r>
      <w:r w:rsidRPr="00811870">
        <w:rPr>
          <w:lang w:val="en-US"/>
        </w:rPr>
        <w:noBreakHyphen/>
        <w:t>lead ECG at baseline and Week 12.</w:t>
      </w:r>
    </w:p>
    <w:p w14:paraId="60E83BB1" w14:textId="77777777" w:rsidR="00811870" w:rsidRPr="00811870" w:rsidRDefault="00811870" w:rsidP="00811870">
      <w:pPr>
        <w:numPr>
          <w:ilvl w:val="0"/>
          <w:numId w:val="8"/>
        </w:numPr>
        <w:rPr>
          <w:lang w:val="en-US"/>
        </w:rPr>
      </w:pPr>
      <w:r w:rsidRPr="00811870">
        <w:rPr>
          <w:lang w:val="en-US"/>
        </w:rPr>
        <w:t>The PI will conduct monthly reviews of unblinded safety data and determine whether any protocol modifications are warranted.</w:t>
      </w:r>
    </w:p>
    <w:p w14:paraId="6619891B" w14:textId="77777777" w:rsidR="003C05F4" w:rsidRDefault="00811870" w:rsidP="00811870">
      <w:pPr>
        <w:rPr>
          <w:lang w:val="en-US"/>
        </w:rPr>
      </w:pPr>
      <w:r w:rsidRPr="00811870">
        <w:rPr>
          <w:lang w:val="en-US"/>
        </w:rPr>
        <w:t>Sample Size and Statistical Considerations</w:t>
      </w:r>
    </w:p>
    <w:p w14:paraId="4846E385" w14:textId="7CADC698" w:rsidR="00811870" w:rsidRPr="00811870" w:rsidRDefault="00811870" w:rsidP="00811870">
      <w:pPr>
        <w:rPr>
          <w:lang w:val="en-US"/>
        </w:rPr>
      </w:pPr>
      <w:r w:rsidRPr="00811870">
        <w:rPr>
          <w:lang w:val="en-US"/>
        </w:rPr>
        <w:t>This is a pilot study designed for feasibility and signal detection. A total sample size of 60 (30 per arm) has been chosen to support estimation of mean changes and variability in ABS scores and to inform future, larger trials. The primary analysis will compare change from baseline to Week 12 in ABS scores between arms using an independent</w:t>
      </w:r>
      <w:r w:rsidRPr="00811870">
        <w:rPr>
          <w:lang w:val="en-US"/>
        </w:rPr>
        <w:noBreakHyphen/>
        <w:t>samples t</w:t>
      </w:r>
      <w:r w:rsidRPr="00811870">
        <w:rPr>
          <w:lang w:val="en-US"/>
        </w:rPr>
        <w:noBreakHyphen/>
        <w:t>test or a nonparametric alternative, as appropriate. Missing data will be handled using available</w:t>
      </w:r>
      <w:r w:rsidRPr="00811870">
        <w:rPr>
          <w:lang w:val="en-US"/>
        </w:rPr>
        <w:noBreakHyphen/>
        <w:t>case analysis. Sensitivity analyses may be performed as warranted.</w:t>
      </w:r>
    </w:p>
    <w:p w14:paraId="62934692" w14:textId="77777777" w:rsidR="00811870" w:rsidRPr="00811870" w:rsidRDefault="00811870" w:rsidP="00811870">
      <w:r w:rsidRPr="00811870">
        <w:t>Data Collection and Management</w:t>
      </w:r>
    </w:p>
    <w:p w14:paraId="47074666" w14:textId="77777777" w:rsidR="00811870" w:rsidRPr="00811870" w:rsidRDefault="00811870" w:rsidP="00811870">
      <w:pPr>
        <w:numPr>
          <w:ilvl w:val="0"/>
          <w:numId w:val="9"/>
        </w:numPr>
        <w:rPr>
          <w:lang w:val="en-US"/>
        </w:rPr>
      </w:pPr>
      <w:r w:rsidRPr="00811870">
        <w:rPr>
          <w:lang w:val="en-US"/>
        </w:rPr>
        <w:t>ABS and caregiver questionnaires will be completed on paper or electronic forms and transcribed into the study database.</w:t>
      </w:r>
    </w:p>
    <w:p w14:paraId="7D249E74" w14:textId="77777777" w:rsidR="00811870" w:rsidRPr="00811870" w:rsidRDefault="00811870" w:rsidP="00811870">
      <w:pPr>
        <w:numPr>
          <w:ilvl w:val="0"/>
          <w:numId w:val="9"/>
        </w:numPr>
        <w:rPr>
          <w:lang w:val="en-US"/>
        </w:rPr>
      </w:pPr>
      <w:r w:rsidRPr="00811870">
        <w:rPr>
          <w:lang w:val="en-US"/>
        </w:rPr>
        <w:t>Continuous activity data will be captured by wrist</w:t>
      </w:r>
      <w:r w:rsidRPr="00811870">
        <w:rPr>
          <w:lang w:val="en-US"/>
        </w:rPr>
        <w:noBreakHyphen/>
        <w:t>worn accelerometers and uploaded to a secure, sponsor</w:t>
      </w:r>
      <w:r w:rsidRPr="00811870">
        <w:rPr>
          <w:lang w:val="en-US"/>
        </w:rPr>
        <w:noBreakHyphen/>
        <w:t>managed cloud server for processing.</w:t>
      </w:r>
    </w:p>
    <w:p w14:paraId="00DFBB76" w14:textId="77777777" w:rsidR="00811870" w:rsidRPr="00811870" w:rsidRDefault="00811870" w:rsidP="00811870">
      <w:pPr>
        <w:numPr>
          <w:ilvl w:val="0"/>
          <w:numId w:val="9"/>
        </w:numPr>
      </w:pPr>
      <w:r w:rsidRPr="00811870">
        <w:rPr>
          <w:lang w:val="en-US"/>
        </w:rPr>
        <w:t>To support behavior assessments, in</w:t>
      </w:r>
      <w:r w:rsidRPr="00811870">
        <w:rPr>
          <w:lang w:val="en-US"/>
        </w:rPr>
        <w:noBreakHyphen/>
        <w:t xml:space="preserve">room video and audio may be recorded intermittently to aid agitation scoring. </w:t>
      </w:r>
      <w:r w:rsidRPr="00811870">
        <w:t>Data will be linked to participant study IDs.</w:t>
      </w:r>
    </w:p>
    <w:p w14:paraId="22273FF6" w14:textId="77777777" w:rsidR="00811870" w:rsidRPr="00811870" w:rsidRDefault="00811870" w:rsidP="00811870">
      <w:pPr>
        <w:numPr>
          <w:ilvl w:val="0"/>
          <w:numId w:val="9"/>
        </w:numPr>
        <w:rPr>
          <w:lang w:val="en-US"/>
        </w:rPr>
      </w:pPr>
      <w:r w:rsidRPr="00811870">
        <w:rPr>
          <w:lang w:val="en-US"/>
        </w:rPr>
        <w:t>Data will be stored for sponsor analyses; access will be limited to authorized study personnel.</w:t>
      </w:r>
    </w:p>
    <w:p w14:paraId="2D9E6081" w14:textId="77777777" w:rsidR="003C05F4" w:rsidRDefault="00811870" w:rsidP="00811870">
      <w:pPr>
        <w:rPr>
          <w:lang w:val="en-US"/>
        </w:rPr>
      </w:pPr>
      <w:r w:rsidRPr="00811870">
        <w:rPr>
          <w:lang w:val="en-US"/>
        </w:rPr>
        <w:t>Privacy and Confidentiality</w:t>
      </w:r>
    </w:p>
    <w:p w14:paraId="56CD8CA5" w14:textId="2FE8FC59" w:rsidR="00811870" w:rsidRPr="00811870" w:rsidRDefault="00811870" w:rsidP="00811870">
      <w:pPr>
        <w:rPr>
          <w:lang w:val="en-US"/>
        </w:rPr>
      </w:pPr>
      <w:r w:rsidRPr="00811870">
        <w:rPr>
          <w:lang w:val="en-US"/>
        </w:rPr>
        <w:t>Participant confidentiality will be protected by assigning unique study IDs. Identifiable information will be maintained in secure files accessible to authorized staff only. Aggregated data may be used in scientific publications and presentations. Video and audio recordings will be handled according to sponsor standard operating procedures.</w:t>
      </w:r>
    </w:p>
    <w:p w14:paraId="7E1E35EB" w14:textId="77777777" w:rsidR="00212D2B" w:rsidRDefault="00212D2B" w:rsidP="00811870"/>
    <w:p w14:paraId="269977D6" w14:textId="66203F03" w:rsidR="00811870" w:rsidRPr="00811870" w:rsidRDefault="00811870" w:rsidP="00811870">
      <w:r w:rsidRPr="00811870">
        <w:t>Study Visits and Timeline</w:t>
      </w:r>
    </w:p>
    <w:p w14:paraId="68971F76" w14:textId="77777777" w:rsidR="00811870" w:rsidRPr="00811870" w:rsidRDefault="00811870" w:rsidP="00811870">
      <w:pPr>
        <w:numPr>
          <w:ilvl w:val="0"/>
          <w:numId w:val="10"/>
        </w:numPr>
        <w:rPr>
          <w:lang w:val="en-US"/>
        </w:rPr>
      </w:pPr>
      <w:r w:rsidRPr="00811870">
        <w:rPr>
          <w:lang w:val="en-US"/>
        </w:rPr>
        <w:t>Screening: Review of medical records and eligibility confirmation.</w:t>
      </w:r>
    </w:p>
    <w:p w14:paraId="089EE017" w14:textId="77777777" w:rsidR="00811870" w:rsidRPr="00811870" w:rsidRDefault="00811870" w:rsidP="00811870">
      <w:pPr>
        <w:numPr>
          <w:ilvl w:val="0"/>
          <w:numId w:val="10"/>
        </w:numPr>
        <w:rPr>
          <w:lang w:val="en-US"/>
        </w:rPr>
      </w:pPr>
      <w:r w:rsidRPr="00811870">
        <w:rPr>
          <w:lang w:val="en-US"/>
        </w:rPr>
        <w:t>Baseline (Week 0): Consent/notification confirmation, randomization, baseline ABS, caregiver questionnaire, ECG, distribution of study drug and wrist device.</w:t>
      </w:r>
    </w:p>
    <w:p w14:paraId="52078D40" w14:textId="77777777" w:rsidR="00811870" w:rsidRPr="00811870" w:rsidRDefault="00811870" w:rsidP="00811870">
      <w:pPr>
        <w:numPr>
          <w:ilvl w:val="0"/>
          <w:numId w:val="10"/>
        </w:numPr>
        <w:rPr>
          <w:lang w:val="en-US"/>
        </w:rPr>
      </w:pPr>
      <w:r w:rsidRPr="00811870">
        <w:rPr>
          <w:lang w:val="en-US"/>
        </w:rPr>
        <w:lastRenderedPageBreak/>
        <w:t>Treatment Period (Weeks 1–12): Weekly vital signs and AE review; study drug accountability.</w:t>
      </w:r>
    </w:p>
    <w:p w14:paraId="06C2A140" w14:textId="77777777" w:rsidR="00811870" w:rsidRPr="00811870" w:rsidRDefault="00811870" w:rsidP="00811870">
      <w:pPr>
        <w:numPr>
          <w:ilvl w:val="0"/>
          <w:numId w:val="10"/>
        </w:numPr>
        <w:rPr>
          <w:lang w:val="en-US"/>
        </w:rPr>
      </w:pPr>
      <w:r w:rsidRPr="00811870">
        <w:rPr>
          <w:lang w:val="en-US"/>
        </w:rPr>
        <w:t>End of Treatment (Week 12): ABS, caregiver questionnaire, ECG, AE assessment, return of devices.</w:t>
      </w:r>
    </w:p>
    <w:p w14:paraId="7694A4FD" w14:textId="77777777" w:rsidR="003C05F4" w:rsidRDefault="00811870" w:rsidP="00811870">
      <w:pPr>
        <w:rPr>
          <w:lang w:val="en-US"/>
        </w:rPr>
      </w:pPr>
      <w:r w:rsidRPr="00811870">
        <w:rPr>
          <w:lang w:val="en-US"/>
        </w:rPr>
        <w:t>Compensation and Support</w:t>
      </w:r>
    </w:p>
    <w:p w14:paraId="7643C023" w14:textId="4FF818C2" w:rsidR="00B73D67" w:rsidRDefault="00811870" w:rsidP="00811870">
      <w:pPr>
        <w:rPr>
          <w:lang w:val="en-US"/>
        </w:rPr>
      </w:pPr>
      <w:r w:rsidRPr="00811870">
        <w:rPr>
          <w:lang w:val="en-US"/>
        </w:rPr>
        <w:t xml:space="preserve"> Participating facilities will receive </w:t>
      </w:r>
      <w:r w:rsidR="00B73D67" w:rsidRPr="00B73D67">
        <w:rPr>
          <w:lang w:val="en-US"/>
        </w:rPr>
        <w:t>1,000 Euro per enrolled resident to offset administrative and staffing time.</w:t>
      </w:r>
      <w:r w:rsidR="00B73D67">
        <w:rPr>
          <w:lang w:val="en-US"/>
        </w:rPr>
        <w:t xml:space="preserve"> </w:t>
      </w:r>
      <w:r w:rsidR="00B73D67" w:rsidRPr="00B73D67">
        <w:rPr>
          <w:lang w:val="en-US"/>
        </w:rPr>
        <w:t>Families will be offered a 250 Euro gift card in appreciation for participation support and completion of study rocedures.</w:t>
      </w:r>
    </w:p>
    <w:p w14:paraId="3B159E53" w14:textId="77777777" w:rsidR="003C05F4" w:rsidRDefault="00811870" w:rsidP="00811870">
      <w:pPr>
        <w:rPr>
          <w:lang w:val="en-US"/>
        </w:rPr>
      </w:pPr>
      <w:r w:rsidRPr="00811870">
        <w:rPr>
          <w:lang w:val="en-US"/>
        </w:rPr>
        <w:t>Risk Disclosure and Medical Care</w:t>
      </w:r>
    </w:p>
    <w:p w14:paraId="61F344D5" w14:textId="47679970" w:rsidR="00811870" w:rsidRPr="00811870" w:rsidRDefault="00811870" w:rsidP="00811870">
      <w:pPr>
        <w:rPr>
          <w:lang w:val="en-US"/>
        </w:rPr>
      </w:pPr>
      <w:r w:rsidRPr="00811870">
        <w:rPr>
          <w:lang w:val="en-US"/>
        </w:rPr>
        <w:t>Potential risks include somnolence, dizziness, and other sedation</w:t>
      </w:r>
      <w:r w:rsidRPr="00811870">
        <w:rPr>
          <w:lang w:val="en-US"/>
        </w:rPr>
        <w:noBreakHyphen/>
        <w:t>related effects. Facility clinicians will manage any medical issues per standard practice. Participants will use their usual insurance for any medical care or injuries that occur during the study.</w:t>
      </w:r>
    </w:p>
    <w:p w14:paraId="0EE3C038" w14:textId="77777777" w:rsidR="003C05F4" w:rsidRDefault="00811870" w:rsidP="00811870">
      <w:pPr>
        <w:rPr>
          <w:lang w:val="en-US"/>
        </w:rPr>
      </w:pPr>
      <w:r w:rsidRPr="00811870">
        <w:rPr>
          <w:lang w:val="en-US"/>
        </w:rPr>
        <w:t>Conflicts of Interest and Publication</w:t>
      </w:r>
    </w:p>
    <w:p w14:paraId="4CA48E33" w14:textId="5251CE87" w:rsidR="00811870" w:rsidRPr="00811870" w:rsidRDefault="00811870" w:rsidP="00811870">
      <w:pPr>
        <w:rPr>
          <w:lang w:val="en-US"/>
        </w:rPr>
      </w:pPr>
      <w:r w:rsidRPr="00811870">
        <w:rPr>
          <w:lang w:val="en-US"/>
        </w:rPr>
        <w:t>The PI has disclosed an equity interest in NeuroCalm LLC. The sponsor will provide study drug, data management support, and funding, and will have the right to review manuscripts and presentations prior to submission. Trial results may be published in peer</w:t>
      </w:r>
      <w:r w:rsidRPr="00811870">
        <w:rPr>
          <w:lang w:val="en-US"/>
        </w:rPr>
        <w:noBreakHyphen/>
        <w:t>reviewed venues. The sponsor may delay public dissemination for a limited period to permit review.</w:t>
      </w:r>
    </w:p>
    <w:p w14:paraId="19FFC051" w14:textId="77777777" w:rsidR="003C05F4" w:rsidRDefault="00811870" w:rsidP="00811870">
      <w:pPr>
        <w:rPr>
          <w:lang w:val="en-US"/>
        </w:rPr>
      </w:pPr>
      <w:r w:rsidRPr="00811870">
        <w:rPr>
          <w:lang w:val="en-US"/>
        </w:rPr>
        <w:t>Post</w:t>
      </w:r>
      <w:r w:rsidRPr="00811870">
        <w:rPr>
          <w:lang w:val="en-US"/>
        </w:rPr>
        <w:noBreakHyphen/>
        <w:t xml:space="preserve">Trial Access </w:t>
      </w:r>
    </w:p>
    <w:p w14:paraId="5FF006CD" w14:textId="276CF500" w:rsidR="00811870" w:rsidRPr="00811870" w:rsidRDefault="00811870" w:rsidP="00811870">
      <w:pPr>
        <w:rPr>
          <w:lang w:val="en-US"/>
        </w:rPr>
      </w:pPr>
      <w:r w:rsidRPr="00811870">
        <w:rPr>
          <w:lang w:val="en-US"/>
        </w:rPr>
        <w:t>There is no planned provision of CalmDose after study completion. Participants will resume routine care as determined by facility clinicians.</w:t>
      </w:r>
    </w:p>
    <w:p w14:paraId="2052AD64" w14:textId="77777777" w:rsidR="003C05F4" w:rsidRDefault="00811870" w:rsidP="00811870">
      <w:pPr>
        <w:rPr>
          <w:lang w:val="en-US"/>
        </w:rPr>
      </w:pPr>
      <w:r w:rsidRPr="00811870">
        <w:rPr>
          <w:lang w:val="en-US"/>
        </w:rPr>
        <w:t>Study Oversight</w:t>
      </w:r>
    </w:p>
    <w:p w14:paraId="1641E33B" w14:textId="58237B7C" w:rsidR="00811870" w:rsidRPr="00811870" w:rsidRDefault="00811870" w:rsidP="00811870">
      <w:pPr>
        <w:rPr>
          <w:lang w:val="en-US"/>
        </w:rPr>
      </w:pPr>
      <w:r w:rsidRPr="00811870">
        <w:rPr>
          <w:lang w:val="en-US"/>
        </w:rPr>
        <w:t>The study will be conducted in accordance with Good Clinical Practice and local regulations. Institutional approvals will be obtained prior to site activation. A data and safety monitoring plan will be maintained by the PI, with monthly safety reviews and reporting to institutional bodies as required.</w:t>
      </w:r>
    </w:p>
    <w:p w14:paraId="0F38A89B" w14:textId="77777777" w:rsidR="003C05F4" w:rsidRDefault="00811870" w:rsidP="00811870">
      <w:pPr>
        <w:rPr>
          <w:lang w:val="en-US"/>
        </w:rPr>
      </w:pPr>
      <w:r w:rsidRPr="00811870">
        <w:rPr>
          <w:lang w:val="en-US"/>
        </w:rPr>
        <w:t>Clinical Trial Registration</w:t>
      </w:r>
    </w:p>
    <w:p w14:paraId="78B71277" w14:textId="3EA86B45" w:rsidR="00811870" w:rsidRPr="00811870" w:rsidRDefault="00811870" w:rsidP="00811870">
      <w:pPr>
        <w:rPr>
          <w:lang w:val="en-US"/>
        </w:rPr>
      </w:pPr>
      <w:r w:rsidRPr="00811870">
        <w:rPr>
          <w:lang w:val="en-US"/>
        </w:rPr>
        <w:t>The sponsor will manage public disclosures and listings related to the study as appropriate.</w:t>
      </w:r>
    </w:p>
    <w:p w14:paraId="224C5CBD" w14:textId="59311900" w:rsidR="00811870" w:rsidRDefault="00811870" w:rsidP="00811870">
      <w:pPr>
        <w:rPr>
          <w:lang w:val="en-US"/>
        </w:rPr>
      </w:pPr>
      <w:r w:rsidRPr="00811870">
        <w:rPr>
          <w:lang w:val="en-US"/>
        </w:rPr>
        <w:t xml:space="preserve">Archiving Study records will be retained according to sponsor policy and applicable regulations to support </w:t>
      </w:r>
      <w:r w:rsidR="006B3E5E">
        <w:rPr>
          <w:lang w:val="en-US"/>
        </w:rPr>
        <w:t>f</w:t>
      </w:r>
      <w:r w:rsidRPr="00811870">
        <w:rPr>
          <w:lang w:val="en-US"/>
        </w:rPr>
        <w:t>uture analyses and regulatory submissions.</w:t>
      </w:r>
    </w:p>
    <w:p w14:paraId="501665FC" w14:textId="77777777" w:rsidR="006B3E5E" w:rsidRDefault="006B3E5E" w:rsidP="00811870">
      <w:pPr>
        <w:rPr>
          <w:lang w:val="en-US"/>
        </w:rPr>
      </w:pPr>
    </w:p>
    <w:sectPr w:rsidR="006B3E5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DBDC" w14:textId="77777777" w:rsidR="00EC4A01" w:rsidRDefault="00EC4A01" w:rsidP="0053239C">
      <w:pPr>
        <w:spacing w:after="0" w:line="240" w:lineRule="auto"/>
      </w:pPr>
      <w:r>
        <w:separator/>
      </w:r>
    </w:p>
  </w:endnote>
  <w:endnote w:type="continuationSeparator" w:id="0">
    <w:p w14:paraId="061E9DC9" w14:textId="77777777" w:rsidR="00EC4A01" w:rsidRDefault="00EC4A01" w:rsidP="0053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59DAA" w14:textId="77777777" w:rsidR="0053239C" w:rsidRDefault="0053239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836362"/>
      <w:docPartObj>
        <w:docPartGallery w:val="Page Numbers (Bottom of Page)"/>
        <w:docPartUnique/>
      </w:docPartObj>
    </w:sdtPr>
    <w:sdtContent>
      <w:p w14:paraId="33AC59C0" w14:textId="00082EF3" w:rsidR="0053239C" w:rsidRDefault="0053239C">
        <w:pPr>
          <w:pStyle w:val="Fuzeile"/>
          <w:jc w:val="right"/>
        </w:pPr>
        <w:r>
          <w:fldChar w:fldCharType="begin"/>
        </w:r>
        <w:r>
          <w:instrText>PAGE   \* MERGEFORMAT</w:instrText>
        </w:r>
        <w:r>
          <w:fldChar w:fldCharType="separate"/>
        </w:r>
        <w:r>
          <w:t>2</w:t>
        </w:r>
        <w:r>
          <w:fldChar w:fldCharType="end"/>
        </w:r>
      </w:p>
    </w:sdtContent>
  </w:sdt>
  <w:p w14:paraId="559EF75A" w14:textId="77777777" w:rsidR="0053239C" w:rsidRDefault="0053239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EB8F" w14:textId="77777777" w:rsidR="0053239C" w:rsidRDefault="0053239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1398E" w14:textId="77777777" w:rsidR="00EC4A01" w:rsidRDefault="00EC4A01" w:rsidP="0053239C">
      <w:pPr>
        <w:spacing w:after="0" w:line="240" w:lineRule="auto"/>
      </w:pPr>
      <w:r>
        <w:separator/>
      </w:r>
    </w:p>
  </w:footnote>
  <w:footnote w:type="continuationSeparator" w:id="0">
    <w:p w14:paraId="2459F5E2" w14:textId="77777777" w:rsidR="00EC4A01" w:rsidRDefault="00EC4A01" w:rsidP="0053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2418A" w14:textId="77777777" w:rsidR="0053239C" w:rsidRDefault="0053239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A5F92" w14:textId="77777777" w:rsidR="0053239C" w:rsidRDefault="0053239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0BD72" w14:textId="77777777" w:rsidR="0053239C" w:rsidRDefault="0053239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BA2"/>
    <w:multiLevelType w:val="multilevel"/>
    <w:tmpl w:val="FAB8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F4407"/>
    <w:multiLevelType w:val="multilevel"/>
    <w:tmpl w:val="EEF84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B57D03"/>
    <w:multiLevelType w:val="multilevel"/>
    <w:tmpl w:val="6E74E7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B50D6F"/>
    <w:multiLevelType w:val="multilevel"/>
    <w:tmpl w:val="FA6A3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734C0B"/>
    <w:multiLevelType w:val="multilevel"/>
    <w:tmpl w:val="FC54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D15660"/>
    <w:multiLevelType w:val="multilevel"/>
    <w:tmpl w:val="D56E5B1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1531C5"/>
    <w:multiLevelType w:val="multilevel"/>
    <w:tmpl w:val="08E0C9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4376D8"/>
    <w:multiLevelType w:val="multilevel"/>
    <w:tmpl w:val="40A8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F32A8B"/>
    <w:multiLevelType w:val="multilevel"/>
    <w:tmpl w:val="C870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4C1054"/>
    <w:multiLevelType w:val="multilevel"/>
    <w:tmpl w:val="10B2F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2B3560"/>
    <w:multiLevelType w:val="multilevel"/>
    <w:tmpl w:val="BFA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5208E4"/>
    <w:multiLevelType w:val="multilevel"/>
    <w:tmpl w:val="94A03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E857C9"/>
    <w:multiLevelType w:val="multilevel"/>
    <w:tmpl w:val="0C3A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0C2BF3"/>
    <w:multiLevelType w:val="multilevel"/>
    <w:tmpl w:val="AADE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6C594A"/>
    <w:multiLevelType w:val="multilevel"/>
    <w:tmpl w:val="6E24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9A77DF"/>
    <w:multiLevelType w:val="multilevel"/>
    <w:tmpl w:val="07280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C5627E"/>
    <w:multiLevelType w:val="multilevel"/>
    <w:tmpl w:val="82A209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0D773B"/>
    <w:multiLevelType w:val="multilevel"/>
    <w:tmpl w:val="D74E6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AB64E61"/>
    <w:multiLevelType w:val="multilevel"/>
    <w:tmpl w:val="3378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8A7802"/>
    <w:multiLevelType w:val="multilevel"/>
    <w:tmpl w:val="7FD6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AB26E5"/>
    <w:multiLevelType w:val="multilevel"/>
    <w:tmpl w:val="AE3CB1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8410B9"/>
    <w:multiLevelType w:val="multilevel"/>
    <w:tmpl w:val="850ED0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6047147"/>
    <w:multiLevelType w:val="multilevel"/>
    <w:tmpl w:val="07A2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88C7E7C"/>
    <w:multiLevelType w:val="multilevel"/>
    <w:tmpl w:val="576E8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9802E39"/>
    <w:multiLevelType w:val="multilevel"/>
    <w:tmpl w:val="0B5E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7280182"/>
    <w:multiLevelType w:val="multilevel"/>
    <w:tmpl w:val="2ED8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322AD4"/>
    <w:multiLevelType w:val="multilevel"/>
    <w:tmpl w:val="93EA0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055816">
    <w:abstractNumId w:val="22"/>
  </w:num>
  <w:num w:numId="2" w16cid:durableId="1548687239">
    <w:abstractNumId w:val="10"/>
  </w:num>
  <w:num w:numId="3" w16cid:durableId="879824777">
    <w:abstractNumId w:val="18"/>
  </w:num>
  <w:num w:numId="4" w16cid:durableId="727074274">
    <w:abstractNumId w:val="9"/>
  </w:num>
  <w:num w:numId="5" w16cid:durableId="1330328073">
    <w:abstractNumId w:val="4"/>
  </w:num>
  <w:num w:numId="6" w16cid:durableId="1056778094">
    <w:abstractNumId w:val="12"/>
  </w:num>
  <w:num w:numId="7" w16cid:durableId="760301817">
    <w:abstractNumId w:val="21"/>
  </w:num>
  <w:num w:numId="8" w16cid:durableId="906305280">
    <w:abstractNumId w:val="14"/>
  </w:num>
  <w:num w:numId="9" w16cid:durableId="1683586351">
    <w:abstractNumId w:val="23"/>
  </w:num>
  <w:num w:numId="10" w16cid:durableId="35588360">
    <w:abstractNumId w:val="13"/>
  </w:num>
  <w:num w:numId="11" w16cid:durableId="1034765792">
    <w:abstractNumId w:val="3"/>
  </w:num>
  <w:num w:numId="12" w16cid:durableId="836309431">
    <w:abstractNumId w:val="24"/>
  </w:num>
  <w:num w:numId="13" w16cid:durableId="435560870">
    <w:abstractNumId w:val="16"/>
  </w:num>
  <w:num w:numId="14" w16cid:durableId="165285457">
    <w:abstractNumId w:val="0"/>
  </w:num>
  <w:num w:numId="15" w16cid:durableId="947857494">
    <w:abstractNumId w:val="26"/>
  </w:num>
  <w:num w:numId="16" w16cid:durableId="547304727">
    <w:abstractNumId w:val="7"/>
  </w:num>
  <w:num w:numId="17" w16cid:durableId="2122142360">
    <w:abstractNumId w:val="20"/>
  </w:num>
  <w:num w:numId="18" w16cid:durableId="1949044661">
    <w:abstractNumId w:val="17"/>
  </w:num>
  <w:num w:numId="19" w16cid:durableId="1286622163">
    <w:abstractNumId w:val="11"/>
  </w:num>
  <w:num w:numId="20" w16cid:durableId="1425152949">
    <w:abstractNumId w:val="8"/>
  </w:num>
  <w:num w:numId="21" w16cid:durableId="1656956032">
    <w:abstractNumId w:val="6"/>
  </w:num>
  <w:num w:numId="22" w16cid:durableId="2006736952">
    <w:abstractNumId w:val="25"/>
  </w:num>
  <w:num w:numId="23" w16cid:durableId="746849381">
    <w:abstractNumId w:val="2"/>
  </w:num>
  <w:num w:numId="24" w16cid:durableId="142938130">
    <w:abstractNumId w:val="15"/>
  </w:num>
  <w:num w:numId="25" w16cid:durableId="973217162">
    <w:abstractNumId w:val="5"/>
  </w:num>
  <w:num w:numId="26" w16cid:durableId="1410930538">
    <w:abstractNumId w:val="19"/>
  </w:num>
  <w:num w:numId="27" w16cid:durableId="73015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295"/>
    <w:rsid w:val="00212D2B"/>
    <w:rsid w:val="002366BB"/>
    <w:rsid w:val="002E6FAC"/>
    <w:rsid w:val="003944CD"/>
    <w:rsid w:val="003C05F4"/>
    <w:rsid w:val="0053239C"/>
    <w:rsid w:val="00532F8D"/>
    <w:rsid w:val="00591AC0"/>
    <w:rsid w:val="006B3E5E"/>
    <w:rsid w:val="00811870"/>
    <w:rsid w:val="008F16D3"/>
    <w:rsid w:val="00935B9C"/>
    <w:rsid w:val="00A30E6E"/>
    <w:rsid w:val="00B73D67"/>
    <w:rsid w:val="00BD77C9"/>
    <w:rsid w:val="00DC0295"/>
    <w:rsid w:val="00EC4A01"/>
    <w:rsid w:val="00F04759"/>
    <w:rsid w:val="00F762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2E854"/>
  <w15:chartTrackingRefBased/>
  <w15:docId w15:val="{782A8B66-CBF8-4BD3-B543-EB0B793F1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C029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DC029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DC0295"/>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DC0295"/>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DC0295"/>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DC029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029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C029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029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0295"/>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DC0295"/>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DC0295"/>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DC0295"/>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DC0295"/>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DC029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029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C029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0295"/>
    <w:rPr>
      <w:rFonts w:eastAsiaTheme="majorEastAsia" w:cstheme="majorBidi"/>
      <w:color w:val="272727" w:themeColor="text1" w:themeTint="D8"/>
    </w:rPr>
  </w:style>
  <w:style w:type="paragraph" w:styleId="Titel">
    <w:name w:val="Title"/>
    <w:basedOn w:val="Standard"/>
    <w:next w:val="Standard"/>
    <w:link w:val="TitelZchn"/>
    <w:uiPriority w:val="10"/>
    <w:qFormat/>
    <w:rsid w:val="00DC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029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029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C029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C029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C0295"/>
    <w:rPr>
      <w:i/>
      <w:iCs/>
      <w:color w:val="404040" w:themeColor="text1" w:themeTint="BF"/>
    </w:rPr>
  </w:style>
  <w:style w:type="paragraph" w:styleId="Listenabsatz">
    <w:name w:val="List Paragraph"/>
    <w:basedOn w:val="Standard"/>
    <w:uiPriority w:val="34"/>
    <w:qFormat/>
    <w:rsid w:val="00DC0295"/>
    <w:pPr>
      <w:ind w:left="720"/>
      <w:contextualSpacing/>
    </w:pPr>
  </w:style>
  <w:style w:type="character" w:styleId="IntensiveHervorhebung">
    <w:name w:val="Intense Emphasis"/>
    <w:basedOn w:val="Absatz-Standardschriftart"/>
    <w:uiPriority w:val="21"/>
    <w:qFormat/>
    <w:rsid w:val="00DC0295"/>
    <w:rPr>
      <w:i/>
      <w:iCs/>
      <w:color w:val="2E74B5" w:themeColor="accent1" w:themeShade="BF"/>
    </w:rPr>
  </w:style>
  <w:style w:type="paragraph" w:styleId="IntensivesZitat">
    <w:name w:val="Intense Quote"/>
    <w:basedOn w:val="Standard"/>
    <w:next w:val="Standard"/>
    <w:link w:val="IntensivesZitatZchn"/>
    <w:uiPriority w:val="30"/>
    <w:qFormat/>
    <w:rsid w:val="00DC029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DC0295"/>
    <w:rPr>
      <w:i/>
      <w:iCs/>
      <w:color w:val="2E74B5" w:themeColor="accent1" w:themeShade="BF"/>
    </w:rPr>
  </w:style>
  <w:style w:type="character" w:styleId="IntensiverVerweis">
    <w:name w:val="Intense Reference"/>
    <w:basedOn w:val="Absatz-Standardschriftart"/>
    <w:uiPriority w:val="32"/>
    <w:qFormat/>
    <w:rsid w:val="00DC0295"/>
    <w:rPr>
      <w:b/>
      <w:bCs/>
      <w:smallCaps/>
      <w:color w:val="2E74B5" w:themeColor="accent1" w:themeShade="BF"/>
      <w:spacing w:val="5"/>
    </w:rPr>
  </w:style>
  <w:style w:type="paragraph" w:styleId="Kopfzeile">
    <w:name w:val="header"/>
    <w:basedOn w:val="Standard"/>
    <w:link w:val="KopfzeileZchn"/>
    <w:uiPriority w:val="99"/>
    <w:unhideWhenUsed/>
    <w:rsid w:val="005323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3239C"/>
  </w:style>
  <w:style w:type="paragraph" w:styleId="Fuzeile">
    <w:name w:val="footer"/>
    <w:basedOn w:val="Standard"/>
    <w:link w:val="FuzeileZchn"/>
    <w:uiPriority w:val="99"/>
    <w:unhideWhenUsed/>
    <w:rsid w:val="005323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32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1275</Words>
  <Characters>8033</Characters>
  <Application>Microsoft Office Word</Application>
  <DocSecurity>0</DocSecurity>
  <Lines>66</Lines>
  <Paragraphs>18</Paragraphs>
  <ScaleCrop>false</ScaleCrop>
  <Company>Medizinische Universitaet Innsbruck</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Ulmer Hanno</dc:creator>
  <cp:keywords/>
  <dc:description/>
  <cp:lastModifiedBy>Ulmer Hanno</cp:lastModifiedBy>
  <cp:revision>5</cp:revision>
  <cp:lastPrinted>2026-04-16T10:25:00Z</cp:lastPrinted>
  <dcterms:created xsi:type="dcterms:W3CDTF">2026-04-16T10:23:00Z</dcterms:created>
  <dcterms:modified xsi:type="dcterms:W3CDTF">2026-04-16T11:05:00Z</dcterms:modified>
</cp:coreProperties>
</file>